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120"/>
        <w:jc w:val="center"/>
      </w:pPr>
      <w:r>
        <w:rPr>
          <w:rFonts w:ascii="Times New Roman" w:hAnsi="Times New Roman" w:eastAsia="宋体" w:cs="Times New Roman"/>
          <w:color w:val="595959"/>
          <w:spacing w:val="80"/>
          <w:sz w:val="20"/>
        </w:rPr>
        <w:t>联合王国宪制文献</w:t>
      </w:r>
    </w:p>
    <w:p>
      <w:pPr>
        <w:pBdr>
          <w:bottom w:val="single" w:sz="8" w:space="14" w:color="1F3864"/>
        </w:pBdr>
        <w:spacing w:before="600" w:after="200"/>
        <w:jc w:val="center"/>
      </w:pPr>
      <w:r>
        <w:rPr>
          <w:rFonts w:ascii="黑体" w:hAnsi="黑体" w:eastAsia="黑体" w:cs="黑体"/>
          <w:b/>
          <w:color w:val="1F3864"/>
          <w:spacing w:val="60"/>
          <w:sz w:val="64"/>
        </w:rPr>
        <w:t>英国宪制选读</w:t>
      </w:r>
    </w:p>
    <w:p>
      <w:pPr>
        <w:spacing w:before="200" w:after="80"/>
        <w:jc w:val="center"/>
      </w:pPr>
      <w:r>
        <w:rPr>
          <w:rFonts w:ascii="Times New Roman" w:hAnsi="Times New Roman" w:eastAsia="宋体" w:cs="Times New Roman"/>
          <w:color w:val="595959"/>
          <w:sz w:val="30"/>
        </w:rPr>
        <w:t>British Constitutional Documents, 1215-1998</w:t>
      </w:r>
    </w:p>
    <w:p>
      <w:pPr>
        <w:spacing w:before="960" w:after="80"/>
        <w:jc w:val="center"/>
      </w:pPr>
      <w:r>
        <w:rPr>
          <w:rFonts w:ascii="Times New Roman" w:hAnsi="Times New Roman" w:eastAsia="宋体" w:cs="Times New Roman"/>
          <w:color w:val="222222"/>
          <w:sz w:val="22"/>
        </w:rPr>
        <w:t>从大宪章到人权法：六份塑造议会主权的文献（1215—1998）</w:t>
      </w:r>
    </w:p>
    <w:p>
      <w:pPr>
        <w:spacing w:before="4000" w:after="40"/>
        <w:jc w:val="center"/>
      </w:pPr>
      <w:r>
        <w:rPr>
          <w:rFonts w:ascii="Times New Roman" w:hAnsi="Times New Roman" w:eastAsia="宋体" w:cs="Times New Roman"/>
          <w:color w:val="808080"/>
          <w:sz w:val="17"/>
        </w:rPr>
        <w:t>条文据 legislation.gov.uk 与维基文库校对本逐字摘录</w:t>
      </w:r>
    </w:p>
    <w:p>
      <w:pPr>
        <w:jc w:val="center"/>
      </w:pPr>
      <w:r>
        <w:rPr>
          <w:rFonts w:ascii="Times New Roman" w:hAnsi="Times New Roman" w:eastAsia="宋体" w:cs="Times New Roman"/>
          <w:color w:val="808080"/>
          <w:sz w:val="17"/>
        </w:rPr>
        <w:t>英文原件转录本与简体中文译文对照</w:t>
      </w:r>
    </w:p>
    <w:p>
      <w:r>
        <w:br w:type="page"/>
      </w:r>
    </w:p>
    <w:p>
      <w:pPr>
        <w:pBdr>
          <w:bottom w:val="single" w:sz="4" w:space="4" w:color="BFBFBF"/>
        </w:pBdr>
        <w:spacing w:before="0" w:after="200"/>
      </w:pPr>
      <w:r>
        <w:rPr>
          <w:rFonts w:ascii="黑体" w:hAnsi="黑体" w:eastAsia="黑体" w:cs="黑体"/>
          <w:b/>
          <w:color w:val="1F3864"/>
          <w:sz w:val="26"/>
        </w:rPr>
        <w:t>导言</w:t>
      </w:r>
    </w:p>
    <w:p>
      <w:pPr>
        <w:spacing w:after="120" w:line="324" w:lineRule="auto"/>
        <w:ind w:firstLine="420"/>
        <w:jc w:val="both"/>
      </w:pPr>
      <w:r>
        <w:rPr>
          <w:rFonts w:ascii="Times New Roman" w:hAnsi="Times New Roman" w:eastAsia="宋体" w:cs="Times New Roman"/>
          <w:color w:val="222222"/>
          <w:sz w:val="19"/>
        </w:rPr>
        <w:t>英国没有一部成文宪法。它的宪制秩序由若干相隔数百年的文献层层叠加而成：1215 年《大宪章》确认自由人非经合法裁判不得被剥夺人身与财产；1689 年《权利法案》把“未经议会同意不得立法、不得征税”写成条文；1701 年《王位继承法》以法官任期保障司法独立。这三份文件合起来，构成了“议会主权”的历史基础。</w:t>
      </w:r>
    </w:p>
    <w:p>
      <w:pPr>
        <w:spacing w:after="120" w:line="324" w:lineRule="auto"/>
        <w:ind w:firstLine="420"/>
        <w:jc w:val="both"/>
      </w:pPr>
      <w:r>
        <w:rPr>
          <w:rFonts w:ascii="Times New Roman" w:hAnsi="Times New Roman" w:eastAsia="宋体" w:cs="Times New Roman"/>
          <w:color w:val="222222"/>
          <w:sz w:val="19"/>
        </w:rPr>
        <w:t>20 世纪的两部《议会法》改变了议会两院的权力关系：上议院对财政法案的否决权被取消，对其他法案的否决权退化为延宕。1998 年的《人权法》与《苏格兰法》则把另外两条线索带入宪制：一条是把《欧洲人权公约》纳入国内法，法院可以作“不相容宣告”；另一条是权力下放，让苏格兰议会获得未保留事项的立法权。</w:t>
      </w:r>
    </w:p>
    <w:p>
      <w:pPr>
        <w:spacing w:after="120" w:line="324" w:lineRule="auto"/>
        <w:ind w:firstLine="420"/>
        <w:jc w:val="both"/>
      </w:pPr>
      <w:r>
        <w:rPr>
          <w:rFonts w:ascii="Times New Roman" w:hAnsi="Times New Roman" w:eastAsia="宋体" w:cs="Times New Roman"/>
          <w:color w:val="222222"/>
          <w:sz w:val="19"/>
        </w:rPr>
        <w:t>1998 年的《人权法》把另一条线索带了进来：法院须尽量把立法解释为与《欧洲人权公约》相容，确实无法相容时可作“不相容宣告”，但不得推翻议会立法。本编六份文献，是这个叠加过程里最常被引用的节点。《苏格兰法》与《欧洲联盟法》的条文同样重要，但本环境无法核对 legislation.gov.uk 的官方原文，故未收入，改由索引页的链接直接指向该库。</w:t>
      </w:r>
    </w:p>
    <w:p>
      <w:pPr>
        <w:pBdr>
          <w:bottom w:val="single" w:sz="4" w:space="4" w:color="BFBFBF"/>
        </w:pBdr>
        <w:spacing w:before="320" w:after="200"/>
      </w:pPr>
      <w:r>
        <w:rPr>
          <w:rFonts w:ascii="黑体" w:hAnsi="黑体" w:eastAsia="黑体" w:cs="黑体"/>
          <w:b/>
          <w:color w:val="1F3864"/>
          <w:sz w:val="26"/>
        </w:rPr>
        <w:t>编例</w:t>
      </w:r>
    </w:p>
    <w:p>
      <w:pPr>
        <w:spacing w:after="120" w:line="324" w:lineRule="auto"/>
        <w:ind w:firstLine="420"/>
        <w:jc w:val="both"/>
      </w:pPr>
      <w:r>
        <w:rPr>
          <w:rFonts w:ascii="Times New Roman" w:hAnsi="Times New Roman" w:eastAsia="宋体" w:cs="Times New Roman"/>
          <w:color w:val="222222"/>
          <w:sz w:val="19"/>
        </w:rPr>
        <w:t>一、条文均据英国官方法律数据库（legislation.gov.uk）所载现行文本逐字摘录，省略处以 [...] 标示；每条附来源网址。</w:t>
      </w:r>
    </w:p>
    <w:p>
      <w:pPr>
        <w:spacing w:after="120" w:line="324" w:lineRule="auto"/>
        <w:ind w:firstLine="420"/>
        <w:jc w:val="both"/>
      </w:pPr>
      <w:r>
        <w:rPr>
          <w:rFonts w:ascii="Times New Roman" w:hAnsi="Times New Roman" w:eastAsia="宋体" w:cs="Times New Roman"/>
          <w:color w:val="222222"/>
          <w:sz w:val="19"/>
        </w:rPr>
        <w:t>二、《大宪章》以 1297 年确认版为准（该版仍列于成文法册），并保留原件的旧式拼写与标点。</w:t>
      </w:r>
    </w:p>
    <w:p>
      <w:pPr>
        <w:spacing w:after="120" w:line="324" w:lineRule="auto"/>
        <w:ind w:firstLine="420"/>
        <w:jc w:val="both"/>
      </w:pPr>
      <w:r>
        <w:rPr>
          <w:rFonts w:ascii="Times New Roman" w:hAnsi="Times New Roman" w:eastAsia="宋体" w:cs="Times New Roman"/>
          <w:color w:val="222222"/>
          <w:sz w:val="19"/>
        </w:rPr>
        <w:t>三、部分条文在现行版本中已被修正或取代，条目下注明制定年份与生效时间；引用时请核对最新版本。</w:t>
      </w:r>
    </w:p>
    <w:p>
      <w:pPr>
        <w:spacing w:after="120" w:line="324" w:lineRule="auto"/>
        <w:ind w:firstLine="420"/>
        <w:jc w:val="both"/>
      </w:pPr>
      <w:r>
        <w:rPr>
          <w:rFonts w:ascii="Times New Roman" w:hAnsi="Times New Roman" w:eastAsia="宋体" w:cs="Times New Roman"/>
          <w:color w:val="222222"/>
          <w:sz w:val="19"/>
        </w:rPr>
        <w:t>四、中文译文为研读参考，不是官方译本；有疑义时以英文原文为准。</w:t>
      </w:r>
    </w:p>
    <w:p>
      <w:pPr>
        <w:spacing w:after="120" w:line="324" w:lineRule="auto"/>
        <w:ind w:firstLine="420"/>
        <w:jc w:val="both"/>
      </w:pPr>
      <w:r>
        <w:rPr>
          <w:rFonts w:ascii="Times New Roman" w:hAnsi="Times New Roman" w:eastAsia="宋体" w:cs="Times New Roman"/>
          <w:color w:val="222222"/>
          <w:sz w:val="19"/>
        </w:rPr>
        <w:t>五、本编所称“宪制文献”取广义，包括具有宪法意义的普通立法（如《人权法》《苏格兰法》）。</w:t>
      </w:r>
    </w:p>
    <w:p>
      <w:r>
        <w:br w:type="page"/>
      </w:r>
    </w:p>
    <w:p>
      <w:pPr>
        <w:pBdr>
          <w:bottom w:val="single" w:sz="8" w:space="6" w:color="1F3864"/>
        </w:pBdr>
        <w:spacing w:after="80"/>
      </w:pPr>
      <w:r>
        <w:rPr>
          <w:rFonts w:ascii="黑体" w:hAnsi="黑体" w:eastAsia="黑体" w:cs="黑体"/>
          <w:b/>
          <w:color w:val="1F3864"/>
          <w:sz w:val="32"/>
        </w:rPr>
        <w:t>宪制大事年表</w:t>
      </w:r>
    </w:p>
    <w:p>
      <w:pPr>
        <w:spacing w:after="280"/>
      </w:pPr>
      <w:r>
        <w:rPr>
          <w:rFonts w:ascii="Times New Roman" w:hAnsi="Times New Roman" w:eastAsia="宋体" w:cs="Times New Roman"/>
          <w:color w:val="808080"/>
          <w:sz w:val="18"/>
        </w:rPr>
        <w:t>Chronology, 1215-2024</w:t>
      </w:r>
    </w:p>
    <w:p>
      <w:pPr>
        <w:spacing w:after="80" w:line="300" w:lineRule="auto"/>
        <w:ind w:left="879" w:hanging="879"/>
      </w:pPr>
      <w:r>
        <w:rPr>
          <w:rFonts w:ascii="Times New Roman" w:hAnsi="Times New Roman" w:eastAsia="宋体" w:cs="Times New Roman"/>
          <w:b/>
          <w:color w:val="1F3864"/>
          <w:sz w:val="19"/>
        </w:rPr>
        <w:t xml:space="preserve">1215　</w:t>
      </w:r>
      <w:r>
        <w:rPr>
          <w:rFonts w:ascii="Times New Roman" w:hAnsi="Times New Roman" w:eastAsia="宋体" w:cs="Times New Roman"/>
          <w:color w:val="222222"/>
          <w:sz w:val="19"/>
        </w:rPr>
        <w:t>《大宪章》首次颁行，确认自由人非经合法裁判不受剥夺。</w:t>
      </w:r>
    </w:p>
    <w:p>
      <w:pPr>
        <w:spacing w:after="80" w:line="300" w:lineRule="auto"/>
        <w:ind w:left="879" w:hanging="879"/>
      </w:pPr>
      <w:r>
        <w:rPr>
          <w:rFonts w:ascii="Times New Roman" w:hAnsi="Times New Roman" w:eastAsia="宋体" w:cs="Times New Roman"/>
          <w:b/>
          <w:color w:val="1F3864"/>
          <w:sz w:val="19"/>
        </w:rPr>
        <w:t xml:space="preserve">1297　</w:t>
      </w:r>
      <w:r>
        <w:rPr>
          <w:rFonts w:ascii="Times New Roman" w:hAnsi="Times New Roman" w:eastAsia="宋体" w:cs="Times New Roman"/>
          <w:color w:val="222222"/>
          <w:sz w:val="19"/>
        </w:rPr>
        <w:t>爱德华一世确认版《大宪章》入册，部分条款至今有效。</w:t>
      </w:r>
    </w:p>
    <w:p>
      <w:pPr>
        <w:spacing w:after="80" w:line="300" w:lineRule="auto"/>
        <w:ind w:left="879" w:hanging="879"/>
      </w:pPr>
      <w:r>
        <w:rPr>
          <w:rFonts w:ascii="Times New Roman" w:hAnsi="Times New Roman" w:eastAsia="宋体" w:cs="Times New Roman"/>
          <w:b/>
          <w:color w:val="1F3864"/>
          <w:sz w:val="19"/>
        </w:rPr>
        <w:t xml:space="preserve">1628　</w:t>
      </w:r>
      <w:r>
        <w:rPr>
          <w:rFonts w:ascii="Times New Roman" w:hAnsi="Times New Roman" w:eastAsia="宋体" w:cs="Times New Roman"/>
          <w:color w:val="222222"/>
          <w:sz w:val="19"/>
        </w:rPr>
        <w:t>《权利请愿书》：重申非经议会同意不得征税、不得随意拘禁。</w:t>
      </w:r>
    </w:p>
    <w:p>
      <w:pPr>
        <w:spacing w:after="80" w:line="300" w:lineRule="auto"/>
        <w:ind w:left="879" w:hanging="879"/>
      </w:pPr>
      <w:r>
        <w:rPr>
          <w:rFonts w:ascii="Times New Roman" w:hAnsi="Times New Roman" w:eastAsia="宋体" w:cs="Times New Roman"/>
          <w:b/>
          <w:color w:val="1F3864"/>
          <w:sz w:val="19"/>
        </w:rPr>
        <w:t xml:space="preserve">1689　</w:t>
      </w:r>
      <w:r>
        <w:rPr>
          <w:rFonts w:ascii="Times New Roman" w:hAnsi="Times New Roman" w:eastAsia="宋体" w:cs="Times New Roman"/>
          <w:color w:val="222222"/>
          <w:sz w:val="19"/>
        </w:rPr>
        <w:t>《权利法案》：议会立法权、征税权与言论自由获得成文保障。</w:t>
      </w:r>
    </w:p>
    <w:p>
      <w:pPr>
        <w:spacing w:after="80" w:line="300" w:lineRule="auto"/>
        <w:ind w:left="879" w:hanging="879"/>
      </w:pPr>
      <w:r>
        <w:rPr>
          <w:rFonts w:ascii="Times New Roman" w:hAnsi="Times New Roman" w:eastAsia="宋体" w:cs="Times New Roman"/>
          <w:b/>
          <w:color w:val="1F3864"/>
          <w:sz w:val="19"/>
        </w:rPr>
        <w:t xml:space="preserve">1701　</w:t>
      </w:r>
      <w:r>
        <w:rPr>
          <w:rFonts w:ascii="Times New Roman" w:hAnsi="Times New Roman" w:eastAsia="宋体" w:cs="Times New Roman"/>
          <w:color w:val="222222"/>
          <w:sz w:val="19"/>
        </w:rPr>
        <w:t>《王位继承法》：法官任期保障，司法独立成文化。</w:t>
      </w:r>
    </w:p>
    <w:p>
      <w:pPr>
        <w:spacing w:after="80" w:line="300" w:lineRule="auto"/>
        <w:ind w:left="879" w:hanging="879"/>
      </w:pPr>
      <w:r>
        <w:rPr>
          <w:rFonts w:ascii="Times New Roman" w:hAnsi="Times New Roman" w:eastAsia="宋体" w:cs="Times New Roman"/>
          <w:b/>
          <w:color w:val="1F3864"/>
          <w:sz w:val="19"/>
        </w:rPr>
        <w:t xml:space="preserve">1707　</w:t>
      </w:r>
      <w:r>
        <w:rPr>
          <w:rFonts w:ascii="Times New Roman" w:hAnsi="Times New Roman" w:eastAsia="宋体" w:cs="Times New Roman"/>
          <w:color w:val="222222"/>
          <w:sz w:val="19"/>
        </w:rPr>
        <w:t>《联合法案》：英格兰与苏格兰合并为大不列颠。</w:t>
      </w:r>
    </w:p>
    <w:p>
      <w:pPr>
        <w:spacing w:after="80" w:line="300" w:lineRule="auto"/>
        <w:ind w:left="879" w:hanging="879"/>
      </w:pPr>
      <w:r>
        <w:rPr>
          <w:rFonts w:ascii="Times New Roman" w:hAnsi="Times New Roman" w:eastAsia="宋体" w:cs="Times New Roman"/>
          <w:b/>
          <w:color w:val="1F3864"/>
          <w:sz w:val="19"/>
        </w:rPr>
        <w:t xml:space="preserve">1911　</w:t>
      </w:r>
      <w:r>
        <w:rPr>
          <w:rFonts w:ascii="Times New Roman" w:hAnsi="Times New Roman" w:eastAsia="宋体" w:cs="Times New Roman"/>
          <w:color w:val="222222"/>
          <w:sz w:val="19"/>
        </w:rPr>
        <w:t>《议会法》：上议院对财政法案的否决权被取消。</w:t>
      </w:r>
    </w:p>
    <w:p>
      <w:pPr>
        <w:spacing w:after="80" w:line="300" w:lineRule="auto"/>
        <w:ind w:left="879" w:hanging="879"/>
      </w:pPr>
      <w:r>
        <w:rPr>
          <w:rFonts w:ascii="Times New Roman" w:hAnsi="Times New Roman" w:eastAsia="宋体" w:cs="Times New Roman"/>
          <w:b/>
          <w:color w:val="1F3864"/>
          <w:sz w:val="19"/>
        </w:rPr>
        <w:t xml:space="preserve">1949　</w:t>
      </w:r>
      <w:r>
        <w:rPr>
          <w:rFonts w:ascii="Times New Roman" w:hAnsi="Times New Roman" w:eastAsia="宋体" w:cs="Times New Roman"/>
          <w:color w:val="222222"/>
          <w:sz w:val="19"/>
        </w:rPr>
        <w:t>《议会法》：上议院延宕期由两年缩为一年。</w:t>
      </w:r>
    </w:p>
    <w:p>
      <w:pPr>
        <w:spacing w:after="80" w:line="300" w:lineRule="auto"/>
        <w:ind w:left="879" w:hanging="879"/>
      </w:pPr>
      <w:r>
        <w:rPr>
          <w:rFonts w:ascii="Times New Roman" w:hAnsi="Times New Roman" w:eastAsia="宋体" w:cs="Times New Roman"/>
          <w:b/>
          <w:color w:val="1F3864"/>
          <w:sz w:val="19"/>
        </w:rPr>
        <w:t xml:space="preserve">1972　</w:t>
      </w:r>
      <w:r>
        <w:rPr>
          <w:rFonts w:ascii="Times New Roman" w:hAnsi="Times New Roman" w:eastAsia="宋体" w:cs="Times New Roman"/>
          <w:color w:val="222222"/>
          <w:sz w:val="19"/>
        </w:rPr>
        <w:t>《欧洲共同体法》：欧共体法在英国生效，成为脱欧争论的起点。</w:t>
      </w:r>
    </w:p>
    <w:p>
      <w:pPr>
        <w:spacing w:after="80" w:line="300" w:lineRule="auto"/>
        <w:ind w:left="879" w:hanging="879"/>
      </w:pPr>
      <w:r>
        <w:rPr>
          <w:rFonts w:ascii="Times New Roman" w:hAnsi="Times New Roman" w:eastAsia="宋体" w:cs="Times New Roman"/>
          <w:b/>
          <w:color w:val="1F3864"/>
          <w:sz w:val="19"/>
        </w:rPr>
        <w:t xml:space="preserve">1998　</w:t>
      </w:r>
      <w:r>
        <w:rPr>
          <w:rFonts w:ascii="Times New Roman" w:hAnsi="Times New Roman" w:eastAsia="宋体" w:cs="Times New Roman"/>
          <w:color w:val="222222"/>
          <w:sz w:val="19"/>
        </w:rPr>
        <w:t>《人权法》《苏格兰法》《威尔士政府法》与《贝尔法斯特协议》。</w:t>
      </w:r>
    </w:p>
    <w:p>
      <w:pPr>
        <w:spacing w:after="80" w:line="300" w:lineRule="auto"/>
        <w:ind w:left="879" w:hanging="879"/>
      </w:pPr>
      <w:r>
        <w:rPr>
          <w:rFonts w:ascii="Times New Roman" w:hAnsi="Times New Roman" w:eastAsia="宋体" w:cs="Times New Roman"/>
          <w:b/>
          <w:color w:val="1F3864"/>
          <w:sz w:val="19"/>
        </w:rPr>
        <w:t xml:space="preserve">1999　</w:t>
      </w:r>
      <w:r>
        <w:rPr>
          <w:rFonts w:ascii="Times New Roman" w:hAnsi="Times New Roman" w:eastAsia="宋体" w:cs="Times New Roman"/>
          <w:color w:val="222222"/>
          <w:sz w:val="19"/>
        </w:rPr>
        <w:t>苏格兰议会与威尔士国民议会首次选举，权力下放生效。</w:t>
      </w:r>
    </w:p>
    <w:p>
      <w:pPr>
        <w:spacing w:after="80" w:line="300" w:lineRule="auto"/>
        <w:ind w:left="879" w:hanging="879"/>
      </w:pPr>
      <w:r>
        <w:rPr>
          <w:rFonts w:ascii="Times New Roman" w:hAnsi="Times New Roman" w:eastAsia="宋体" w:cs="Times New Roman"/>
          <w:b/>
          <w:color w:val="1F3864"/>
          <w:sz w:val="19"/>
        </w:rPr>
        <w:t xml:space="preserve">2005　</w:t>
      </w:r>
      <w:r>
        <w:rPr>
          <w:rFonts w:ascii="Times New Roman" w:hAnsi="Times New Roman" w:eastAsia="宋体" w:cs="Times New Roman"/>
          <w:color w:val="222222"/>
          <w:sz w:val="19"/>
        </w:rPr>
        <w:t>《宪制改革法》：设立最高法院，上议院司法职能分离。</w:t>
      </w:r>
    </w:p>
    <w:p>
      <w:pPr>
        <w:spacing w:after="80" w:line="300" w:lineRule="auto"/>
        <w:ind w:left="879" w:hanging="879"/>
      </w:pPr>
      <w:r>
        <w:rPr>
          <w:rFonts w:ascii="Times New Roman" w:hAnsi="Times New Roman" w:eastAsia="宋体" w:cs="Times New Roman"/>
          <w:b/>
          <w:color w:val="1F3864"/>
          <w:sz w:val="19"/>
        </w:rPr>
        <w:t xml:space="preserve">2009　</w:t>
      </w:r>
      <w:r>
        <w:rPr>
          <w:rFonts w:ascii="Times New Roman" w:hAnsi="Times New Roman" w:eastAsia="宋体" w:cs="Times New Roman"/>
          <w:color w:val="222222"/>
          <w:sz w:val="19"/>
        </w:rPr>
        <w:t>英国最高法院成立，取代上议院的司法委员会。</w:t>
      </w:r>
    </w:p>
    <w:p>
      <w:pPr>
        <w:spacing w:after="80" w:line="300" w:lineRule="auto"/>
        <w:ind w:left="879" w:hanging="879"/>
      </w:pPr>
      <w:r>
        <w:rPr>
          <w:rFonts w:ascii="Times New Roman" w:hAnsi="Times New Roman" w:eastAsia="宋体" w:cs="Times New Roman"/>
          <w:b/>
          <w:color w:val="1F3864"/>
          <w:sz w:val="19"/>
        </w:rPr>
        <w:t xml:space="preserve">2011　</w:t>
      </w:r>
      <w:r>
        <w:rPr>
          <w:rFonts w:ascii="Times New Roman" w:hAnsi="Times New Roman" w:eastAsia="宋体" w:cs="Times New Roman"/>
          <w:color w:val="222222"/>
          <w:sz w:val="19"/>
        </w:rPr>
        <w:t>《欧洲联盟法》第 18 条：欧盟法效力源于议会立法。</w:t>
      </w:r>
    </w:p>
    <w:p>
      <w:pPr>
        <w:spacing w:after="80" w:line="300" w:lineRule="auto"/>
        <w:ind w:left="879" w:hanging="879"/>
      </w:pPr>
      <w:r>
        <w:rPr>
          <w:rFonts w:ascii="Times New Roman" w:hAnsi="Times New Roman" w:eastAsia="宋体" w:cs="Times New Roman"/>
          <w:b/>
          <w:color w:val="1F3864"/>
          <w:sz w:val="19"/>
        </w:rPr>
        <w:t xml:space="preserve">2016　</w:t>
      </w:r>
      <w:r>
        <w:rPr>
          <w:rFonts w:ascii="Times New Roman" w:hAnsi="Times New Roman" w:eastAsia="宋体" w:cs="Times New Roman"/>
          <w:color w:val="222222"/>
          <w:sz w:val="19"/>
        </w:rPr>
        <w:t>脱欧公投；次年 Miller 案确认触发退出须经议会立法。</w:t>
      </w:r>
    </w:p>
    <w:p>
      <w:pPr>
        <w:spacing w:after="80" w:line="300" w:lineRule="auto"/>
        <w:ind w:left="879" w:hanging="879"/>
      </w:pPr>
      <w:r>
        <w:rPr>
          <w:rFonts w:ascii="Times New Roman" w:hAnsi="Times New Roman" w:eastAsia="宋体" w:cs="Times New Roman"/>
          <w:b/>
          <w:color w:val="1F3864"/>
          <w:sz w:val="19"/>
        </w:rPr>
        <w:t xml:space="preserve">2018　</w:t>
      </w:r>
      <w:r>
        <w:rPr>
          <w:rFonts w:ascii="Times New Roman" w:hAnsi="Times New Roman" w:eastAsia="宋体" w:cs="Times New Roman"/>
          <w:color w:val="222222"/>
          <w:sz w:val="19"/>
        </w:rPr>
        <w:t>《欧盟（退出）法》废止 1972 年法，保留“保留欧盟法”。</w:t>
      </w:r>
    </w:p>
    <w:p>
      <w:pPr>
        <w:spacing w:after="80" w:line="300" w:lineRule="auto"/>
        <w:ind w:left="879" w:hanging="879"/>
      </w:pPr>
      <w:r>
        <w:rPr>
          <w:rFonts w:ascii="Times New Roman" w:hAnsi="Times New Roman" w:eastAsia="宋体" w:cs="Times New Roman"/>
          <w:b/>
          <w:color w:val="1F3864"/>
          <w:sz w:val="19"/>
        </w:rPr>
        <w:t xml:space="preserve">2020　</w:t>
      </w:r>
      <w:r>
        <w:rPr>
          <w:rFonts w:ascii="Times New Roman" w:hAnsi="Times New Roman" w:eastAsia="宋体" w:cs="Times New Roman"/>
          <w:color w:val="222222"/>
          <w:sz w:val="19"/>
        </w:rPr>
        <w:t>过渡期结束，英国退出欧盟单一市场与关税同盟。</w:t>
      </w:r>
    </w:p>
    <w:p>
      <w:pPr>
        <w:spacing w:after="80" w:line="300" w:lineRule="auto"/>
        <w:ind w:left="879" w:hanging="879"/>
      </w:pPr>
      <w:r>
        <w:rPr>
          <w:rFonts w:ascii="Times New Roman" w:hAnsi="Times New Roman" w:eastAsia="宋体" w:cs="Times New Roman"/>
          <w:b/>
          <w:color w:val="1F3864"/>
          <w:sz w:val="19"/>
        </w:rPr>
        <w:t xml:space="preserve">2024　</w:t>
      </w:r>
      <w:r>
        <w:rPr>
          <w:rFonts w:ascii="Times New Roman" w:hAnsi="Times New Roman" w:eastAsia="宋体" w:cs="Times New Roman"/>
          <w:color w:val="222222"/>
          <w:sz w:val="19"/>
        </w:rPr>
        <w:t>《保留欧盟法改革与撤销法》进一步限缩保留欧盟法的地位。</w:t>
      </w:r>
    </w:p>
    <w:p>
      <w:pPr>
        <w:pBdr>
          <w:bottom w:val="single" w:sz="4" w:space="6" w:color="BFBFBF"/>
        </w:pBdr>
        <w:spacing w:before="1280" w:after="280"/>
      </w:pPr>
      <w:r>
        <w:rPr>
          <w:rFonts w:ascii="Times New Roman" w:hAnsi="Times New Roman" w:eastAsia="宋体" w:cs="Times New Roman"/>
          <w:sz w:val="4"/>
        </w:rPr>
      </w:r>
    </w:p>
    <w:p>
      <w:pPr>
        <w:keepNext/>
        <w:spacing w:after="160"/>
        <w:jc w:val="center"/>
      </w:pPr>
      <w:r>
        <w:rPr>
          <w:rFonts w:ascii="Times New Roman" w:hAnsi="Times New Roman" w:eastAsia="宋体" w:cs="Times New Roman"/>
          <w:color w:val="595959"/>
          <w:spacing w:val="100"/>
          <w:sz w:val="19"/>
        </w:rPr>
        <w:t>文献</w:t>
      </w:r>
    </w:p>
    <w:p>
      <w:pPr>
        <w:keepNext/>
        <w:spacing w:before="0" w:after="160"/>
        <w:jc w:val="center"/>
      </w:pPr>
      <w:r>
        <w:rPr>
          <w:rFonts w:ascii="黑体" w:hAnsi="黑体" w:eastAsia="黑体" w:cs="黑体"/>
          <w:b/>
          <w:color w:val="1F3864"/>
          <w:sz w:val="44"/>
        </w:rPr>
        <w:t>六份宪制文本</w:t>
      </w:r>
    </w:p>
    <w:p>
      <w:pPr>
        <w:keepNext/>
        <w:spacing w:after="200"/>
        <w:jc w:val="center"/>
      </w:pPr>
      <w:r>
        <w:rPr>
          <w:rFonts w:ascii="Times New Roman" w:hAnsi="Times New Roman" w:eastAsia="宋体" w:cs="Times New Roman"/>
          <w:color w:val="595959"/>
          <w:sz w:val="21"/>
        </w:rPr>
        <w:t>Six Constitutional Texts</w:t>
      </w:r>
    </w:p>
    <w:p>
      <w:pPr>
        <w:spacing w:before="160"/>
        <w:jc w:val="center"/>
      </w:pPr>
      <w:r>
        <w:rPr>
          <w:rFonts w:ascii="Times New Roman" w:hAnsi="Times New Roman" w:eastAsia="宋体" w:cs="Times New Roman"/>
          <w:color w:val="808080"/>
          <w:sz w:val="19"/>
        </w:rPr>
        <w:t>按年代排列：从 1215 年《大宪章》到 1998 年《人权法》</w:t>
      </w:r>
    </w:p>
    <w:p>
      <w:pPr>
        <w:keepNext/>
        <w:spacing w:before="400" w:after="40"/>
      </w:pPr>
      <w:r>
        <w:rPr>
          <w:rFonts w:ascii="黑体" w:hAnsi="黑体" w:eastAsia="黑体" w:cs="黑体"/>
          <w:b/>
          <w:color w:val="1F3864"/>
          <w:sz w:val="26"/>
        </w:rPr>
        <w:t>《大宪章》第 29 条</w:t>
      </w:r>
    </w:p>
    <w:p>
      <w:pPr>
        <w:keepNext/>
        <w:spacing w:after="60"/>
      </w:pPr>
      <w:r>
        <w:rPr>
          <w:rFonts w:ascii="Times New Roman" w:hAnsi="Times New Roman" w:eastAsia="宋体" w:cs="Times New Roman"/>
          <w:color w:val="595959"/>
          <w:sz w:val="18"/>
        </w:rPr>
        <w:t>Magna Carta (1297), clause 29</w:t>
      </w:r>
    </w:p>
    <w:p>
      <w:pPr>
        <w:keepNext/>
        <w:spacing w:after="160"/>
      </w:pPr>
      <w:r>
        <w:rPr>
          <w:rFonts w:ascii="Times New Roman" w:hAnsi="Times New Roman" w:eastAsia="宋体" w:cs="Times New Roman"/>
          <w:color w:val="808080"/>
          <w:sz w:val="16"/>
        </w:rPr>
        <w:t>1215 年首次颁行 · 1297 年确认版收入成文法</w:t>
      </w:r>
    </w:p>
    <w:p>
      <w:pPr>
        <w:keepNext/>
        <w:spacing w:after="120" w:line="336" w:lineRule="auto"/>
        <w:jc w:val="both"/>
      </w:pPr>
      <w:r>
        <w:rPr>
          <w:rFonts w:ascii="Times New Roman" w:hAnsi="Times New Roman" w:eastAsia="宋体" w:cs="Times New Roman"/>
          <w:color w:val="222222"/>
          <w:sz w:val="19"/>
        </w:rPr>
        <w:t>1215 年，贵族迫使约翰王签署《大宪章》，确认教会自由、城市特权，并规定自由人非经“同侪的合法裁判或国法”不得被剥夺人身与财产。1297 年爱德华一世的确认版至今仍列于成文法册，第 29 条是“法律的正当程序”观念最常被追溯的源头。</w:t>
      </w:r>
    </w:p>
    <w:p>
      <w:pPr>
        <w:keepNext/>
        <w:spacing w:before="80" w:after="40"/>
      </w:pPr>
      <w:r>
        <w:rPr>
          <w:rFonts w:ascii="Times New Roman" w:hAnsi="Times New Roman" w:eastAsia="宋体" w:cs="Times New Roman"/>
          <w:color w:val="808080"/>
          <w:spacing w:val="30"/>
          <w:sz w:val="16"/>
        </w:rPr>
        <w:t>条文原文 / ORIGINAL TEXT</w:t>
      </w:r>
    </w:p>
    <w:p>
      <w:pPr>
        <w:keepNext/>
        <w:pBdr>
          <w:left w:val="single" w:sz="12" w:space="10" w:color="C9D3E3"/>
        </w:pBdr>
        <w:spacing w:before="20" w:after="20" w:line="288" w:lineRule="auto"/>
        <w:ind w:left="425" w:right="227"/>
      </w:pPr>
      <w:r>
        <w:rPr>
          <w:rFonts w:ascii="Times New Roman" w:hAnsi="Times New Roman" w:eastAsia="宋体" w:cs="Times New Roman"/>
          <w:color w:val="222222"/>
          <w:sz w:val="19"/>
        </w:rPr>
        <w:t>NO Freeman shall be taken or imprisoned, or be disseised of his Freehold, or Liberties, or free Customs, or be outlawed, or exiled, or any other wise destroyed; nor will We not pass upon him, nor condemn him, but by lawful judgment of his Peers, or by the Law of the Land. We will sell to no man, we will not deny or defer to any man either Justice or Right.</w:t>
      </w:r>
    </w:p>
    <w:p>
      <w:pPr>
        <w:pBdr>
          <w:left w:val="single" w:sz="12" w:space="10" w:color="C9D3E3"/>
        </w:pBdr>
        <w:spacing w:before="40" w:after="40" w:line="324" w:lineRule="auto"/>
        <w:ind w:left="425" w:right="227"/>
      </w:pPr>
      <w:r>
        <w:rPr>
          <w:rFonts w:ascii="Times New Roman" w:hAnsi="Times New Roman" w:eastAsia="宋体" w:cs="Times New Roman"/>
          <w:color w:val="595959"/>
          <w:sz w:val="19"/>
        </w:rPr>
        <w:t>任何自由人，不得被逮捕或监禁，不得被剥夺其自由保有地、自由权或自由习惯，不得被褫夺法律保护、流放或以任何其他方式加以损害；我们亦不得对其审理或判决，但依其同侪的合法裁判或依国法者不在此限。我们不出售、不拒绝、不迟延给予任何人正义或权利。</w:t>
      </w:r>
      <w:r>
        <w:br/>
      </w:r>
      <w:r>
        <w:rPr>
          <w:rFonts w:ascii="Times New Roman" w:hAnsi="Times New Roman" w:eastAsia="宋体" w:cs="Times New Roman"/>
          <w:color w:val="808080"/>
          <w:sz w:val="15"/>
        </w:rPr>
        <w:t>来源：https://www.legislation.gov.uk/aep/Edw1cc1929/25/9</w:t>
      </w:r>
    </w:p>
    <w:p>
      <w:pPr>
        <w:keepNext/>
        <w:spacing w:before="400" w:after="40"/>
      </w:pPr>
      <w:r>
        <w:rPr>
          <w:rFonts w:ascii="黑体" w:hAnsi="黑体" w:eastAsia="黑体" w:cs="黑体"/>
          <w:b/>
          <w:color w:val="1F3864"/>
          <w:sz w:val="26"/>
        </w:rPr>
        <w:t>《权利法案》</w:t>
      </w:r>
    </w:p>
    <w:p>
      <w:pPr>
        <w:keepNext/>
        <w:spacing w:after="60"/>
      </w:pPr>
      <w:r>
        <w:rPr>
          <w:rFonts w:ascii="Times New Roman" w:hAnsi="Times New Roman" w:eastAsia="宋体" w:cs="Times New Roman"/>
          <w:color w:val="595959"/>
          <w:sz w:val="18"/>
        </w:rPr>
        <w:t>Bill of Rights 1689</w:t>
      </w:r>
    </w:p>
    <w:p>
      <w:pPr>
        <w:keepNext/>
        <w:spacing w:after="160"/>
      </w:pPr>
      <w:r>
        <w:rPr>
          <w:rFonts w:ascii="Times New Roman" w:hAnsi="Times New Roman" w:eastAsia="宋体" w:cs="Times New Roman"/>
          <w:color w:val="808080"/>
          <w:sz w:val="16"/>
        </w:rPr>
        <w:t>1689 年 12 月 16 日</w:t>
      </w:r>
    </w:p>
    <w:p>
      <w:pPr>
        <w:keepNext w:val="0"/>
        <w:spacing w:after="120" w:line="336" w:lineRule="auto"/>
        <w:jc w:val="both"/>
      </w:pPr>
      <w:r>
        <w:rPr>
          <w:rFonts w:ascii="Times New Roman" w:hAnsi="Times New Roman" w:eastAsia="宋体" w:cs="Times New Roman"/>
          <w:color w:val="222222"/>
          <w:sz w:val="19"/>
        </w:rPr>
        <w:t>光荣革命后的宪制安排：未经议会同意，国王不得中止法律、不得征税；议员选举自由；议会内的言论与辩论不受追究。它把“王在议会”的主权结构写进成文条款，也是今天议会特权的基础。</w:t>
      </w:r>
    </w:p>
    <w:p>
      <w:pPr>
        <w:keepNext/>
        <w:spacing w:before="80" w:after="40"/>
      </w:pPr>
      <w:r>
        <w:rPr>
          <w:rFonts w:ascii="Times New Roman" w:hAnsi="Times New Roman" w:eastAsia="宋体" w:cs="Times New Roman"/>
          <w:color w:val="808080"/>
          <w:spacing w:val="30"/>
          <w:sz w:val="16"/>
        </w:rPr>
        <w:t>条文原文 / ORIGINAL TEXT</w:t>
      </w:r>
    </w:p>
    <w:p>
      <w:pPr>
        <w:keepNext w:val="0"/>
        <w:pBdr>
          <w:left w:val="single" w:sz="12" w:space="10" w:color="C9D3E3"/>
        </w:pBdr>
        <w:spacing w:before="20" w:after="20" w:line="288" w:lineRule="auto"/>
        <w:ind w:left="425" w:right="227"/>
      </w:pPr>
      <w:r>
        <w:rPr>
          <w:rFonts w:ascii="Times New Roman" w:hAnsi="Times New Roman" w:eastAsia="宋体" w:cs="Times New Roman"/>
          <w:color w:val="222222"/>
          <w:sz w:val="19"/>
        </w:rPr>
        <w:t>1. That the pretended Power of Suspending of Laws or the Execution of Laws by Regall Authority without Consent of Parlyament is illegall. 2. That the pretended Power of Dispensing with Laws or the Execution of Laws by Regall Authoritie as it hath beene assumed and exercised of late is illegall. 4. That levying Money for or to the Use of the Crowne by pretence of Prerogative without Grant of Parlyament for longer time or in other manner then the same is or shall be granted is Illegall. 8. That Election of Members of Parlyament ought to be free. 9. That the Freedome of Speech and Debates or Proceedings in Parlyament ought not to be impeached or questioned in any Court or Place out of Parlyament.</w:t>
      </w:r>
    </w:p>
    <w:p>
      <w:pPr>
        <w:pBdr>
          <w:left w:val="single" w:sz="12" w:space="10" w:color="C9D3E3"/>
        </w:pBdr>
        <w:spacing w:before="40" w:after="40" w:line="324" w:lineRule="auto"/>
        <w:ind w:left="425" w:right="227"/>
      </w:pPr>
      <w:r>
        <w:rPr>
          <w:rFonts w:ascii="Times New Roman" w:hAnsi="Times New Roman" w:eastAsia="宋体" w:cs="Times New Roman"/>
          <w:color w:val="595959"/>
          <w:sz w:val="19"/>
        </w:rPr>
        <w:t>第1条 僭称的、依国王权威未经议会同意即中止法律或中止法律执行的权力，为非法。 第2条 僭称的、依国王权威中止法律或中止法律执行的权力，就其晚近以来所僭取并行使者而言，为非法。 第4条 以特权为借口，未经议会授予，为国王或供国王使用而征收金钱，其征收的期限长于或方式不同于议会所授予或将授予者，为非法。 第8条 议会议员的选举应当是自由的。 第9条 议会中的言论自由以及辩论或议事程序，不得在议会之外的任何法院或任何场所受到弹劾或质疑。</w:t>
      </w:r>
      <w:r>
        <w:br/>
      </w:r>
      <w:r>
        <w:rPr>
          <w:rFonts w:ascii="Times New Roman" w:hAnsi="Times New Roman" w:eastAsia="宋体" w:cs="Times New Roman"/>
          <w:color w:val="808080"/>
          <w:sz w:val="15"/>
        </w:rPr>
        <w:t>来源：https://www.legislation.gov.uk/aep/WillandMarSess2/1/2</w:t>
      </w:r>
    </w:p>
    <w:p>
      <w:pPr>
        <w:keepNext/>
        <w:spacing w:before="400" w:after="40"/>
      </w:pPr>
      <w:r>
        <w:rPr>
          <w:rFonts w:ascii="黑体" w:hAnsi="黑体" w:eastAsia="黑体" w:cs="黑体"/>
          <w:b/>
          <w:color w:val="1F3864"/>
          <w:sz w:val="26"/>
        </w:rPr>
        <w:t>《王位继承法》</w:t>
      </w:r>
    </w:p>
    <w:p>
      <w:pPr>
        <w:keepNext/>
        <w:spacing w:after="60"/>
      </w:pPr>
      <w:r>
        <w:rPr>
          <w:rFonts w:ascii="Times New Roman" w:hAnsi="Times New Roman" w:eastAsia="宋体" w:cs="Times New Roman"/>
          <w:color w:val="595959"/>
          <w:sz w:val="18"/>
        </w:rPr>
        <w:t>Act of Settlement 1701</w:t>
      </w:r>
    </w:p>
    <w:p>
      <w:pPr>
        <w:keepNext/>
        <w:spacing w:after="160"/>
      </w:pPr>
      <w:r>
        <w:rPr>
          <w:rFonts w:ascii="Times New Roman" w:hAnsi="Times New Roman" w:eastAsia="宋体" w:cs="Times New Roman"/>
          <w:color w:val="808080"/>
          <w:sz w:val="16"/>
        </w:rPr>
        <w:t>1701 年 6 月 12 日</w:t>
      </w:r>
    </w:p>
    <w:p>
      <w:pPr>
        <w:keepNext/>
        <w:spacing w:after="120" w:line="336" w:lineRule="auto"/>
        <w:jc w:val="both"/>
      </w:pPr>
      <w:r>
        <w:rPr>
          <w:rFonts w:ascii="Times New Roman" w:hAnsi="Times New Roman" w:eastAsia="宋体" w:cs="Times New Roman"/>
          <w:color w:val="222222"/>
          <w:sz w:val="19"/>
        </w:rPr>
        <w:t>规定王位由新教徒继承，并以“quamdiu se bene gesserint”（品行良好期间）保障法官任期，只有两院奏请才可免职。司法独立由此获得成文法依据，而非仅靠君主自制。</w:t>
      </w:r>
    </w:p>
    <w:p>
      <w:pPr>
        <w:keepNext/>
        <w:spacing w:before="80" w:after="40"/>
      </w:pPr>
      <w:r>
        <w:rPr>
          <w:rFonts w:ascii="Times New Roman" w:hAnsi="Times New Roman" w:eastAsia="宋体" w:cs="Times New Roman"/>
          <w:color w:val="808080"/>
          <w:spacing w:val="30"/>
          <w:sz w:val="16"/>
        </w:rPr>
        <w:t>条文原文 / ORIGINAL TEXT</w:t>
      </w:r>
    </w:p>
    <w:p>
      <w:pPr>
        <w:keepNext/>
        <w:pBdr>
          <w:left w:val="single" w:sz="12" w:space="10" w:color="C9D3E3"/>
        </w:pBdr>
        <w:spacing w:before="20" w:after="20" w:line="288" w:lineRule="auto"/>
        <w:ind w:left="425" w:right="227"/>
      </w:pPr>
      <w:r>
        <w:rPr>
          <w:rFonts w:ascii="Times New Roman" w:hAnsi="Times New Roman" w:eastAsia="宋体" w:cs="Times New Roman"/>
          <w:color w:val="222222"/>
          <w:sz w:val="19"/>
        </w:rPr>
        <w:t>That after the said Limitation shall take Effect as aforesaid Judges Commissions be made Quam diu se bene Gesserint and their Salaries ascertained and established but upon the Address of both Houses of Parliament it may be lawfull to remove them.</w:t>
      </w:r>
    </w:p>
    <w:p>
      <w:pPr>
        <w:pBdr>
          <w:left w:val="single" w:sz="12" w:space="10" w:color="C9D3E3"/>
        </w:pBdr>
        <w:spacing w:before="40" w:after="40" w:line="324" w:lineRule="auto"/>
        <w:ind w:left="425" w:right="227"/>
      </w:pPr>
      <w:r>
        <w:rPr>
          <w:rFonts w:ascii="Times New Roman" w:hAnsi="Times New Roman" w:eastAsia="宋体" w:cs="Times New Roman"/>
          <w:color w:val="595959"/>
          <w:sz w:val="19"/>
        </w:rPr>
        <w:t>上述限制如上所述生效后，法官之委任应以“Quam diu se bene Gesserint”（即品行良好期间）为准作出，其薪俸应予确定并固定；但经议会两院陈请，得将其免职。</w:t>
      </w:r>
      <w:r>
        <w:br/>
      </w:r>
      <w:r>
        <w:rPr>
          <w:rFonts w:ascii="Times New Roman" w:hAnsi="Times New Roman" w:eastAsia="宋体" w:cs="Times New Roman"/>
          <w:color w:val="808080"/>
          <w:sz w:val="15"/>
        </w:rPr>
        <w:t>来源：https://en.wikisource.org/wiki/Act_of_Settlement_1701</w:t>
      </w:r>
    </w:p>
    <w:p>
      <w:pPr>
        <w:keepNext/>
        <w:spacing w:before="400" w:after="40"/>
      </w:pPr>
      <w:r>
        <w:rPr>
          <w:rFonts w:ascii="黑体" w:hAnsi="黑体" w:eastAsia="黑体" w:cs="黑体"/>
          <w:b/>
          <w:color w:val="1F3864"/>
          <w:sz w:val="26"/>
        </w:rPr>
        <w:t>1911 年《议会法》</w:t>
      </w:r>
    </w:p>
    <w:p>
      <w:pPr>
        <w:keepNext/>
        <w:spacing w:after="60"/>
      </w:pPr>
      <w:r>
        <w:rPr>
          <w:rFonts w:ascii="Times New Roman" w:hAnsi="Times New Roman" w:eastAsia="宋体" w:cs="Times New Roman"/>
          <w:color w:val="595959"/>
          <w:sz w:val="18"/>
        </w:rPr>
        <w:t>Parliament Act 1911</w:t>
      </w:r>
    </w:p>
    <w:p>
      <w:pPr>
        <w:keepNext/>
        <w:spacing w:after="160"/>
      </w:pPr>
      <w:r>
        <w:rPr>
          <w:rFonts w:ascii="Times New Roman" w:hAnsi="Times New Roman" w:eastAsia="宋体" w:cs="Times New Roman"/>
          <w:color w:val="808080"/>
          <w:sz w:val="16"/>
        </w:rPr>
        <w:t>1911 年 8 月 18 日</w:t>
      </w:r>
    </w:p>
    <w:p>
      <w:pPr>
        <w:keepNext w:val="0"/>
        <w:spacing w:after="120" w:line="336" w:lineRule="auto"/>
        <w:jc w:val="both"/>
      </w:pPr>
      <w:r>
        <w:rPr>
          <w:rFonts w:ascii="Times New Roman" w:hAnsi="Times New Roman" w:eastAsia="宋体" w:cs="Times New Roman"/>
          <w:color w:val="222222"/>
          <w:sz w:val="19"/>
        </w:rPr>
        <w:t>上议院拒绝通过自由党政府的预算，引发宪政危机。本法取消上议院对财政法案的否决权，并把上议院对其他法案的否决改为延宕两年——下议院在立法中的优先地位由此确立。</w:t>
      </w:r>
    </w:p>
    <w:p>
      <w:pPr>
        <w:keepNext/>
        <w:spacing w:before="80" w:after="40"/>
      </w:pPr>
      <w:r>
        <w:rPr>
          <w:rFonts w:ascii="Times New Roman" w:hAnsi="Times New Roman" w:eastAsia="宋体" w:cs="Times New Roman"/>
          <w:color w:val="808080"/>
          <w:spacing w:val="30"/>
          <w:sz w:val="16"/>
        </w:rPr>
        <w:t>条文原文 / ORIGINAL TEXT</w:t>
      </w:r>
    </w:p>
    <w:p>
      <w:pPr>
        <w:keepNext w:val="0"/>
        <w:pBdr>
          <w:left w:val="single" w:sz="12" w:space="10" w:color="C9D3E3"/>
        </w:pBdr>
        <w:spacing w:before="20" w:after="20" w:line="288" w:lineRule="auto"/>
        <w:ind w:left="425" w:right="227"/>
      </w:pPr>
      <w:r>
        <w:rPr>
          <w:rFonts w:ascii="Times New Roman" w:hAnsi="Times New Roman" w:eastAsia="宋体" w:cs="Times New Roman"/>
          <w:color w:val="222222"/>
          <w:sz w:val="19"/>
        </w:rPr>
        <w:t>WHEREAS it is expedient that provision should be made for regulating the relations between the two Houses of Parliament: And whereas it is intended to substitute for the House of Lords as it at present exists a Second Chamber constituted on a popular instead of hereditary basis, but such substitution cannot be immediately brought into operation: And whereas provision will require hereafter to be made by Parliament in a measure effecting such substitution for limiting and defining the powers of the new Second Chamber, but it is expedient to make such provision as in this Act appears for restricting the existing powers of the House of Lords: [...] 1.—(1) If a Money Bill, having been passed by the House of Commons, and sent up to the House of Lords at least one month before the end of the session, is not passed by the House of Lords without amendment within one month after it is so sent up to that House, the Bill shall, unless the House of Commons direct to the contrary, be presented to His Majesty and become an Act of Parliament on the Royal Assent being signified, notwithstanding that the House of Lords have not consented to the Bill. [...] 2.—(1) If any Public Bill (other than a Money Bill or a Bill containing any provision to extend the maximum duration of Parliament beyond five years) is passed by the House of Commons in three successive sessions (whether of the same Parliament or not), and, having been sent up to the House of Lords at least one month before the end of the session, is rejected by the House of Lords in each of those sessions, that Bill shall, on its rejection for the third time by the House of Lords, unless the House of Commons direct to the contrary, be presented to His Majesty and become an Act of Parliament on the Royal Assent being signified thereto, notwithstanding that the House of Lords have not consented to the Bill: Provided that this provision shall not take effect unless two years have elapsed between the date of the second reading in the first of those sessions of the Bill in the House of Commons and the date on which it passes the House of Commons in the third of those sessions. 2.—(3) A Bill shall be deemed to be rejected by the House of Lords if it is not passed by the House of Lords either without amendment or with such amendments only as may be agreed to by both Houses.</w:t>
      </w:r>
    </w:p>
    <w:p>
      <w:pPr>
        <w:pBdr>
          <w:left w:val="single" w:sz="12" w:space="10" w:color="C9D3E3"/>
        </w:pBdr>
        <w:spacing w:before="40" w:after="40" w:line="324" w:lineRule="auto"/>
        <w:ind w:left="425" w:right="227"/>
      </w:pPr>
      <w:r>
        <w:rPr>
          <w:rFonts w:ascii="Times New Roman" w:hAnsi="Times New Roman" w:eastAsia="宋体" w:cs="Times New Roman"/>
          <w:color w:val="595959"/>
          <w:sz w:val="19"/>
        </w:rPr>
        <w:t>鉴于为规范议会两院之间的关系，宜作出规定： 又鉴于拟以依民选原则而非世袭原则组成的第二院取代现存之上议院，但此种取代不能立即付诸实施： 又鉴于日后须由议会以实施此种取代之法律，对新第二院之权力加以限制与界定，但宜按本法之规定对现存上议院之权力作出限制： [...] 第1条（1）财政法案经下议院通过，并在会期结束前至少一个月送交上议院，如上议院在该法案送交后一个月内未予不加修正地通过，则除下议院另有相反指示外，该法案应呈送国王陛下，并自御准表示之日起成为议会法律，即使上议院未同意该法案。 [...] 第2条（1）任何公法案（财政法案，或含有将议会最长任期延长至五年以上之规定的法案除外），如连续三个会期（不论是否为同一届议会）均经下议院通过，并在会期结束前至少一个月送交上议院，且在每个会期均遭上议院否决，则该法案于第三次遭上议院否决时，除下议院另有相反指示外，应呈送国王陛下，并自御准表示之日起成为议会法律，即使上议院未同意该法案；但除自该法案在第一个会期于下议院二读之日起至其在第三个会期于下议院通过之日止已满两年外，本规定不发生效力。 第2条（3）法案未经上议院不加修正地通过，或仅经两院均同意之修正而通过者，视为遭上议院否决。</w:t>
      </w:r>
      <w:r>
        <w:br/>
      </w:r>
      <w:r>
        <w:rPr>
          <w:rFonts w:ascii="Times New Roman" w:hAnsi="Times New Roman" w:eastAsia="宋体" w:cs="Times New Roman"/>
          <w:color w:val="808080"/>
          <w:sz w:val="15"/>
        </w:rPr>
        <w:t>来源：https://en.wikisource.org/wiki/Parliament_Act_1911</w:t>
      </w:r>
    </w:p>
    <w:p>
      <w:pPr>
        <w:keepNext/>
        <w:spacing w:before="400" w:after="40"/>
      </w:pPr>
      <w:r>
        <w:rPr>
          <w:rFonts w:ascii="黑体" w:hAnsi="黑体" w:eastAsia="黑体" w:cs="黑体"/>
          <w:b/>
          <w:color w:val="1F3864"/>
          <w:sz w:val="26"/>
        </w:rPr>
        <w:t>1949 年《议会法》</w:t>
      </w:r>
    </w:p>
    <w:p>
      <w:pPr>
        <w:keepNext/>
        <w:spacing w:after="60"/>
      </w:pPr>
      <w:r>
        <w:rPr>
          <w:rFonts w:ascii="Times New Roman" w:hAnsi="Times New Roman" w:eastAsia="宋体" w:cs="Times New Roman"/>
          <w:color w:val="595959"/>
          <w:sz w:val="18"/>
        </w:rPr>
        <w:t>Parliament Act 1949</w:t>
      </w:r>
    </w:p>
    <w:p>
      <w:pPr>
        <w:keepNext/>
        <w:spacing w:after="160"/>
      </w:pPr>
      <w:r>
        <w:rPr>
          <w:rFonts w:ascii="Times New Roman" w:hAnsi="Times New Roman" w:eastAsia="宋体" w:cs="Times New Roman"/>
          <w:color w:val="808080"/>
          <w:sz w:val="16"/>
        </w:rPr>
        <w:t>1949 年 12 月 16 日</w:t>
      </w:r>
    </w:p>
    <w:p>
      <w:pPr>
        <w:keepNext w:val="0"/>
        <w:spacing w:after="120" w:line="336" w:lineRule="auto"/>
        <w:jc w:val="both"/>
      </w:pPr>
      <w:r>
        <w:rPr>
          <w:rFonts w:ascii="Times New Roman" w:hAnsi="Times New Roman" w:eastAsia="宋体" w:cs="Times New Roman"/>
          <w:color w:val="222222"/>
          <w:sz w:val="19"/>
        </w:rPr>
        <w:t>以 1911 年法本身的程序通过，把上议院的延宕期由两年缩为一年、三届会期缩为两届。正因为它两次动用1911 年法的程序，其自身的合宪性长期被讨论，也成为“议会主权无边”的经典例证。</w:t>
      </w:r>
    </w:p>
    <w:p>
      <w:pPr>
        <w:keepNext/>
        <w:spacing w:before="80" w:after="40"/>
      </w:pPr>
      <w:r>
        <w:rPr>
          <w:rFonts w:ascii="Times New Roman" w:hAnsi="Times New Roman" w:eastAsia="宋体" w:cs="Times New Roman"/>
          <w:color w:val="808080"/>
          <w:spacing w:val="30"/>
          <w:sz w:val="16"/>
        </w:rPr>
        <w:t>条文原文 / ORIGINAL TEXT</w:t>
      </w:r>
    </w:p>
    <w:p>
      <w:pPr>
        <w:keepNext w:val="0"/>
        <w:pBdr>
          <w:left w:val="single" w:sz="12" w:space="10" w:color="C9D3E3"/>
        </w:pBdr>
        <w:spacing w:before="20" w:after="20" w:line="288" w:lineRule="auto"/>
        <w:ind w:left="425" w:right="227"/>
      </w:pPr>
      <w:r>
        <w:rPr>
          <w:rFonts w:ascii="Times New Roman" w:hAnsi="Times New Roman" w:eastAsia="宋体" w:cs="Times New Roman"/>
          <w:color w:val="222222"/>
          <w:sz w:val="19"/>
        </w:rPr>
        <w:t>1. The Parliament Act, 1911, shall have effect, and shall be deemed to have had effect from the beginning of the session in which the Bill for this Act originated (save as regards that Bill itself), as if— (a) there had been substituted in subsections (1) and (4) of section two thereof, for the words "in three successive sessions", "for the third time", "in the third of those sessions", "in the third session", and "in the second or third session" respectively, the words "in two successive sessions", "for the second time", "in the second of those sessions", "in the second session", and "in the second session" respectively; and (b) there had been substituted in subsection (1) of the said section two, for the words "two years have elapsed" the words "one year has elapsed": [...]</w:t>
      </w:r>
    </w:p>
    <w:p>
      <w:pPr>
        <w:pBdr>
          <w:left w:val="single" w:sz="12" w:space="10" w:color="C9D3E3"/>
        </w:pBdr>
        <w:spacing w:before="40" w:after="40" w:line="324" w:lineRule="auto"/>
        <w:ind w:left="425" w:right="227"/>
      </w:pPr>
      <w:r>
        <w:rPr>
          <w:rFonts w:ascii="Times New Roman" w:hAnsi="Times New Roman" w:eastAsia="宋体" w:cs="Times New Roman"/>
          <w:color w:val="595959"/>
          <w:sz w:val="19"/>
        </w:rPr>
        <w:t>第1条 1911年《议会法》应当发生效力，并视为自提出本法案的会期开始时起即已发生效力（但本法案本身除外），其效力如同—— （a）该法第2条第（1）款和第（4）款中的“in three successive sessions”（连续三届会期）、“for the third time”（第三次）、“in the third of those sessions”（该三届会期中的第三届）、“in the third session”（第三届会期）及“in the second or third session”（第二届或第三届会期）等语，已分别被替换为“in two successive sessions”（连续两届会期）、“for the second time”（第二次）、“in the second of those sessions”（该两届会期中的第二届）、“in the second session”（第二届会期）及“in the second session”（第二届会期）；并且 （b）该法第2条第（1）款中的“two years have elapsed”（已满两年）一语，已被替换为“one year has elapsed”（已满一年）： [...]</w:t>
      </w:r>
      <w:r>
        <w:br/>
      </w:r>
      <w:r>
        <w:rPr>
          <w:rFonts w:ascii="Times New Roman" w:hAnsi="Times New Roman" w:eastAsia="宋体" w:cs="Times New Roman"/>
          <w:color w:val="808080"/>
          <w:sz w:val="15"/>
        </w:rPr>
        <w:t>来源：https://en.wikisource.org/wiki/Parliament_Act_1949</w:t>
      </w:r>
    </w:p>
    <w:p>
      <w:pPr>
        <w:keepNext/>
        <w:spacing w:before="400" w:after="40"/>
      </w:pPr>
      <w:r>
        <w:rPr>
          <w:rFonts w:ascii="黑体" w:hAnsi="黑体" w:eastAsia="黑体" w:cs="黑体"/>
          <w:b/>
          <w:color w:val="1F3864"/>
          <w:sz w:val="26"/>
        </w:rPr>
        <w:t>1998 年《人权法》</w:t>
      </w:r>
    </w:p>
    <w:p>
      <w:pPr>
        <w:keepNext/>
        <w:spacing w:after="60"/>
      </w:pPr>
      <w:r>
        <w:rPr>
          <w:rFonts w:ascii="Times New Roman" w:hAnsi="Times New Roman" w:eastAsia="宋体" w:cs="Times New Roman"/>
          <w:color w:val="595959"/>
          <w:sz w:val="18"/>
        </w:rPr>
        <w:t>Human Rights Act 1998</w:t>
      </w:r>
    </w:p>
    <w:p>
      <w:pPr>
        <w:keepNext/>
        <w:spacing w:after="160"/>
      </w:pPr>
      <w:r>
        <w:rPr>
          <w:rFonts w:ascii="Times New Roman" w:hAnsi="Times New Roman" w:eastAsia="宋体" w:cs="Times New Roman"/>
          <w:color w:val="808080"/>
          <w:sz w:val="16"/>
        </w:rPr>
        <w:t>1998 年 11 月 9 日 · 2000 年 10 月 2 日生效</w:t>
      </w:r>
    </w:p>
    <w:p>
      <w:pPr>
        <w:keepNext w:val="0"/>
        <w:spacing w:after="120" w:line="336" w:lineRule="auto"/>
        <w:jc w:val="both"/>
      </w:pPr>
      <w:r>
        <w:rPr>
          <w:rFonts w:ascii="Times New Roman" w:hAnsi="Times New Roman" w:eastAsia="宋体" w:cs="Times New Roman"/>
          <w:color w:val="222222"/>
          <w:sz w:val="19"/>
        </w:rPr>
        <w:t>把《欧洲人权公约》的权利纳入国内法：法院须考虑斯特拉斯堡判例，尽量把立法解释为与公约相容；确实无法相容时，可以作“不相容宣告”，但不得推翻议会立法。司法与议会的关系因此多了一道程序。</w:t>
      </w:r>
    </w:p>
    <w:p>
      <w:pPr>
        <w:keepNext/>
        <w:spacing w:before="80" w:after="40"/>
      </w:pPr>
      <w:r>
        <w:rPr>
          <w:rFonts w:ascii="Times New Roman" w:hAnsi="Times New Roman" w:eastAsia="宋体" w:cs="Times New Roman"/>
          <w:color w:val="808080"/>
          <w:spacing w:val="30"/>
          <w:sz w:val="16"/>
        </w:rPr>
        <w:t>条文原文 / ORIGINAL TEXT</w:t>
      </w:r>
    </w:p>
    <w:p>
      <w:pPr>
        <w:keepNext w:val="0"/>
        <w:pBdr>
          <w:left w:val="single" w:sz="12" w:space="10" w:color="C9D3E3"/>
        </w:pBdr>
        <w:spacing w:before="20" w:after="20" w:line="288" w:lineRule="auto"/>
        <w:ind w:left="425" w:right="227"/>
      </w:pPr>
      <w:r>
        <w:rPr>
          <w:rFonts w:ascii="Times New Roman" w:hAnsi="Times New Roman" w:eastAsia="宋体" w:cs="Times New Roman"/>
          <w:color w:val="222222"/>
          <w:sz w:val="19"/>
        </w:rPr>
        <w:t>2.—(1) A court or tribunal determining a question which has arisen in connection with a Convention right must take into account any— (a) judgment, decision, declaration or advisory opinion of the European Court of Human Rights, (b) opinion of the Commission given in a report adopted under Article 31 of the Convention, (c) decision of the Commission in connection with Article 26 or 27(2) of the Convention, or (d) decision of the Committee of Ministers taken under Article 46 of the Convention, whenever made or given, so far as, in the opinion of the court or tribunal, it is relevant to the proceedings in which that question has arisen. [...] 3.—(1) So far as it is possible to do so, primary legislation and subordinate legislation must be read and given effect in a way which is compatible with the Convention rights. [...] 4.—(2) If the court is satisfied that the provision is incompatible with a Convention right, it may make a declaration of that incompatibility. [...] 6.—(1) It is unlawful for a public authority to act in a way which is incompatible with a Convention right.</w:t>
      </w:r>
    </w:p>
    <w:p>
      <w:pPr>
        <w:pBdr>
          <w:left w:val="single" w:sz="12" w:space="10" w:color="C9D3E3"/>
        </w:pBdr>
        <w:spacing w:before="40" w:after="40" w:line="324" w:lineRule="auto"/>
        <w:ind w:left="425" w:right="227"/>
      </w:pPr>
      <w:r>
        <w:rPr>
          <w:rFonts w:ascii="Times New Roman" w:hAnsi="Times New Roman" w:eastAsia="宋体" w:cs="Times New Roman"/>
          <w:color w:val="595959"/>
          <w:sz w:val="19"/>
        </w:rPr>
        <w:t>第2条第（1）款 法院或法庭在裁断因公约权利而产生的问题时，必须考虑下列各项—— （a）欧洲人权法院的任何判决、裁定、宣告或咨询意见； （b）委员会依《公约》第31条通过的报告中所发表的意见； （c）委员会就《公约》第26条或第27条第（2）款所作的裁定；或 （d）部长委员会依《公约》第46条所作的裁定， 不论上述各项系何时作出或发表，只要法院或法庭认为其与产生该问题的诉讼有关。 [...] 第3条第（1）款 在尽可能的范围内，对基本立法和次级立法必须作出与公约权利相容的解读并赋予其相应效力。 [...] 第4条第（2）款 法院如认定该规定与公约权利不相容，可作出该不相容的宣告。 [...] 第6条第（1）款 公共机构以与公约权利不相容的方式行事的，属违法行为。</w:t>
      </w:r>
      <w:r>
        <w:br/>
      </w:r>
      <w:r>
        <w:rPr>
          <w:rFonts w:ascii="Times New Roman" w:hAnsi="Times New Roman" w:eastAsia="宋体" w:cs="Times New Roman"/>
          <w:color w:val="808080"/>
          <w:sz w:val="15"/>
        </w:rPr>
        <w:t>来源：https://en.wikisource.org/wiki/Human_Rights_Act_1998</w:t>
      </w:r>
    </w:p>
    <w:p>
      <w:pPr>
        <w:pBdr>
          <w:bottom w:val="single" w:sz="4" w:space="4" w:color="BFBFBF"/>
        </w:pBdr>
        <w:spacing w:before="480" w:after="200"/>
      </w:pPr>
      <w:r>
        <w:rPr>
          <w:rFonts w:ascii="黑体" w:hAnsi="黑体" w:eastAsia="黑体" w:cs="黑体"/>
          <w:b/>
          <w:color w:val="1F3864"/>
          <w:sz w:val="28"/>
        </w:rPr>
        <w:t>延伸阅读</w:t>
      </w:r>
    </w:p>
    <w:p>
      <w:pPr>
        <w:spacing w:after="20"/>
      </w:pPr>
      <w:r>
        <w:rPr>
          <w:rFonts w:ascii="Times New Roman" w:hAnsi="Times New Roman" w:eastAsia="宋体" w:cs="Times New Roman"/>
          <w:color w:val="222222"/>
          <w:sz w:val="18"/>
        </w:rPr>
        <w:t>legislation.gov.uk · 英国立法数据库</w:t>
      </w:r>
    </w:p>
    <w:p>
      <w:pPr>
        <w:spacing w:after="180"/>
      </w:pPr>
      <w:r>
        <w:rPr>
          <w:rFonts w:ascii="Times New Roman" w:hAnsi="Times New Roman" w:eastAsia="宋体" w:cs="Times New Roman"/>
          <w:color w:val="808080"/>
          <w:sz w:val="16"/>
        </w:rPr>
        <w:t>https://www.legislation.gov.uk</w:t>
      </w:r>
    </w:p>
    <w:p>
      <w:pPr>
        <w:spacing w:after="20"/>
      </w:pPr>
      <w:r>
        <w:rPr>
          <w:rFonts w:ascii="Times New Roman" w:hAnsi="Times New Roman" w:eastAsia="宋体" w:cs="Times New Roman"/>
          <w:color w:val="222222"/>
          <w:sz w:val="18"/>
        </w:rPr>
        <w:t>英国议会 · 立法程序与 Hansard</w:t>
      </w:r>
    </w:p>
    <w:p>
      <w:pPr>
        <w:spacing w:after="180"/>
      </w:pPr>
      <w:r>
        <w:rPr>
          <w:rFonts w:ascii="Times New Roman" w:hAnsi="Times New Roman" w:eastAsia="宋体" w:cs="Times New Roman"/>
          <w:color w:val="808080"/>
          <w:sz w:val="16"/>
        </w:rPr>
        <w:t>https://www.parliament.uk</w:t>
      </w:r>
    </w:p>
    <w:p>
      <w:pPr>
        <w:spacing w:after="20"/>
      </w:pPr>
      <w:r>
        <w:rPr>
          <w:rFonts w:ascii="Times New Roman" w:hAnsi="Times New Roman" w:eastAsia="宋体" w:cs="Times New Roman"/>
          <w:color w:val="222222"/>
          <w:sz w:val="18"/>
        </w:rPr>
        <w:t>英国最高法院</w:t>
      </w:r>
    </w:p>
    <w:p>
      <w:pPr>
        <w:spacing w:after="180"/>
      </w:pPr>
      <w:r>
        <w:rPr>
          <w:rFonts w:ascii="Times New Roman" w:hAnsi="Times New Roman" w:eastAsia="宋体" w:cs="Times New Roman"/>
          <w:color w:val="808080"/>
          <w:sz w:val="16"/>
        </w:rPr>
        <w:t>https://www.supremecourt.uk</w:t>
      </w:r>
    </w:p>
    <w:p>
      <w:pPr>
        <w:spacing w:after="20"/>
      </w:pPr>
      <w:r>
        <w:rPr>
          <w:rFonts w:ascii="Times New Roman" w:hAnsi="Times New Roman" w:eastAsia="宋体" w:cs="Times New Roman"/>
          <w:color w:val="222222"/>
          <w:sz w:val="18"/>
        </w:rPr>
        <w:t>UCL 宪法中心</w:t>
      </w:r>
    </w:p>
    <w:p>
      <w:pPr>
        <w:spacing w:after="180"/>
      </w:pPr>
      <w:r>
        <w:rPr>
          <w:rFonts w:ascii="Times New Roman" w:hAnsi="Times New Roman" w:eastAsia="宋体" w:cs="Times New Roman"/>
          <w:color w:val="808080"/>
          <w:sz w:val="16"/>
        </w:rPr>
        <w:t>https://www.ucl.ac.uk/constitution-unit</w:t>
      </w:r>
    </w:p>
    <w:p>
      <w:pPr>
        <w:spacing w:after="20"/>
      </w:pPr>
      <w:r>
        <w:rPr>
          <w:rFonts w:ascii="Times New Roman" w:hAnsi="Times New Roman" w:eastAsia="宋体" w:cs="Times New Roman"/>
          <w:color w:val="222222"/>
          <w:sz w:val="18"/>
        </w:rPr>
        <w:t>内阁手册</w:t>
      </w:r>
    </w:p>
    <w:p>
      <w:pPr>
        <w:spacing w:after="180"/>
      </w:pPr>
      <w:r>
        <w:rPr>
          <w:rFonts w:ascii="Times New Roman" w:hAnsi="Times New Roman" w:eastAsia="宋体" w:cs="Times New Roman"/>
          <w:color w:val="808080"/>
          <w:sz w:val="16"/>
        </w:rPr>
        <w:t>https://www.gov.uk/government/publications/cabinet-manual</w:t>
      </w:r>
    </w:p>
    <w:p>
      <w:pPr>
        <w:spacing w:after="20"/>
      </w:pPr>
      <w:r>
        <w:rPr>
          <w:rFonts w:ascii="Times New Roman" w:hAnsi="Times New Roman" w:eastAsia="宋体" w:cs="Times New Roman"/>
          <w:color w:val="222222"/>
          <w:sz w:val="18"/>
        </w:rPr>
        <w:t>BAILII · 判例全文</w:t>
      </w:r>
    </w:p>
    <w:p>
      <w:pPr>
        <w:spacing w:after="180"/>
      </w:pPr>
      <w:r>
        <w:rPr>
          <w:rFonts w:ascii="Times New Roman" w:hAnsi="Times New Roman" w:eastAsia="宋体" w:cs="Times New Roman"/>
          <w:color w:val="808080"/>
          <w:sz w:val="16"/>
        </w:rPr>
        <w:t>https://www.bailii.org</w:t>
      </w:r>
    </w:p>
    <w:p>
      <w:pPr>
        <w:spacing w:before="360"/>
      </w:pPr>
      <w:r>
        <w:rPr>
          <w:rFonts w:ascii="Times New Roman" w:hAnsi="Times New Roman" w:eastAsia="宋体" w:cs="Times New Roman"/>
          <w:color w:val="808080"/>
          <w:sz w:val="16"/>
        </w:rPr>
        <w:t>本册由编译者整理排印 · 2026 年 10 月</w:t>
      </w:r>
    </w:p>
    <w:sectPr w:rsidR="00FC693F" w:rsidRPr="0006063C" w:rsidSect="00034616">
      <w:headerReference w:type="default" r:id="rId9"/>
      <w:footerReference w:type="default" r:id="rId10"/>
      <w:pgSz w:w="11906" w:h="16838"/>
      <w:pgMar w:top="1304" w:right="1417" w:bottom="1247" w:left="1417"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Times New Roman"/>
        <w:color w:val="808080"/>
        <w:sz w:val="18"/>
      </w:rPr>
      <w:t xml:space="preserve">—  </w:t>
    </w:r>
    <w:fldSimple w:instr=" PAGE ">
      <w:r>
        <w:rPr>
          <w:sz w:val="18"/>
        </w:rPr>
        <w:t>1</w:t>
      </w:r>
    </w:fldSimple>
    <w:r>
      <w:rPr>
        <w:rFonts w:ascii="Times New Roman" w:hAnsi="Times New Roman" w:eastAsia="宋体" w:cs="Times New Roman"/>
        <w:color w:val="808080"/>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2" w:color="BFBFBF"/>
      </w:pBdr>
      <w:jc w:val="center"/>
    </w:pPr>
    <w:r>
      <w:rPr>
        <w:rFonts w:ascii="Times New Roman" w:hAnsi="Times New Roman" w:eastAsia="宋体" w:cs="Times New Roman"/>
        <w:color w:val="808080"/>
        <w:sz w:val="17"/>
      </w:rPr>
      <w:t>英国宪制文献 · 中英对照</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英国宪制文献选读（中英对照）</dc:title>
  <dc:subject>British constitutional documents, bilingual reader</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